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13.04.2023, оставленным без изменения постановлением Девятого арбитражного апелляционного суда от 28.06.2023 и постановлением Арбитражного суда Московского округа от 04.10.2023, в удовлетворении заявления отказано. В кассационной жалобе Татауров П.В. просит об отмене судебных актов, полагая, что обращение взыскания на имущество должника в рамках уголовного судопроизводства не является препятствием для оспаривания сделок в отношении данного имущества и возврата его в конкурсную массу.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имущество должника, являющееся предметом оспариваемых договоров, по приговору Одинцовского городского суда Московской области от 21.10.2022 по делу № 1-144/22 обращено в пользу государства. Вывод судов о невозможности возврата имущества в конкурсную массу в силу недопустимости повторного взыскания на него соответствует части 1 статьи 6 Федерального конституционного закона от 31.12.1996 № 1-ФКЗ «О судебной системе Российской Федерации».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Татаурову П.В.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