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17.04.2023 в удовлетворении заявления отказано. Девятый арбитражный апелляционный суд постановлением от 17.07.2023 отменил определение от 17.04.2023 и удовлетворил заявление. Арбитражный суд Московского округа постановлением от 10.10.2023 постановление апелляционного суда от 17.07.2023 оставил без изменения. В кассационных жалобах Бузунова Г.В. и Бузунов С.В. просят об отмене судебных актов апелляционного и окружного судов, ссылаясь на отсутствие условий для признания сделки недействительной.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Апелляционный суд установил совершение аффилированными лицами безвозмездной сделки, направленной на вывод ликвидного имущества из конкурсной массы во избежание обращения взыскания на него по существующим обязательствам должника в качестве условий для недействительности сделки в силу пункта 2 статьи 61.2 Федерального закона «О несостоятельности (банкротстве)». Отличная от судебной оценка обстоятельств заключения сделки не создает обозначенных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Бузуновой Галине Владимировне и Бузунову Сергею Васильевичу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