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Самарской области от 15.05.2023, оставленным без изменения постановлением Одиннадцатого арбитражного апелляционного суда от 18.07.2023 и постановлением Арбитражного суда Поволжского округа от 17.10.2023, требования Демкина Д.В. удовлетворены в части включения в третью очередь реестра в размере 4 933 000 рублей, требование публичного акционерного общества «Сбербанк России» – в размере 34 164 872 рублей 36 копеек как обеспеченное залогом имущества должника. В кассационной жалобе Демкин Д.В. просит об отмене судебных актов как незаконных.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силу статьи 223 Гражданского кодекса Российской Федерации в отношении приобретенного по договору купли-продажи недвижимого имущества покупатель приобретает право собственности с момента государственной регистрации. Учитывая отсутствие государственной регистрации перехода к заявителю права собственности на спорное недвижимое имущество, преимущественная защита его прав из предварительного договора купли-продажи перед правами собственника и залогодержателя законом не предусмотрена.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Демкину Дмитрию Васильевичу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