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06.04.2023 заявление удовлетворено. Восемнадцатый арбитражный апелляционный суд постановлением от 29.05.2023 отменил определение от 06.04.2023 и в удовлетворении заявления отказал. Арбитражный суд Уральского округа постановлением от 31.08.2023 постановление апелляционного суда от 29.05.2023 оставил без изменения. В кассационной жалобе Кочнева Н.В. просит об отмене судебных актов апелляционного и окружного судов, ссылаясь на тяжелые жизненные обстоятельства и наличие условий для возвращения квартиры в конкурсную массу.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передачу кредитору находящейся в залоге квартиры на основании решения суда в исполнительном производстве до возбуждения дела о банкротстве, поэтому признал отсутствие условий для её недействительности.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Кочневой Наталье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