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11.05.2023, оставленным без изменения постановлением Третьего арбитражного апелляционного суда от 02.08.2023 и постановлением Арбитражного суда Восточно-Сибирского округа от 17.10.2023, заявление удовлетворено. В кассационной жалобе Горохов А.В. просит об отмене судебных актов, ссылаясь на недоказанность получения большего нежели в банкротстве объема удовлетворения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государственная регистрация права собственности на недвижимое имущество должника за ответчиком осуществлена после возбуждения дела о банкротстве и повлекла предпочтительное удовлетворение требований ответчика перед требованиями иных кредиторов (статья 61.3 Федерального закона от 26.10.2002 № 127-ФЗ «О несостоятельности (банкротстве)»). Довод ответчика о том, что акт передачи нереализованного в исполнительном производстве имущества может быть оспорен в качестве сделки ошибочен для случая неплатежеспособности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Горохову Александру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 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