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21.12.2023 с ходатайством о восстановлении срока на обжалование. Ахмедов Р.А. указывает, что не мог подать жалобу в срок в связи с ожиданием рассмотрения окружным судом его заявления о разъяснении обжалуемого постановления. В силу частей 1, 2 статьи 291.2 Арбитражного процессуального кодекса Российской Федерации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Указанная причина не носит объективного характера, поэтому в связи с ней срок восстановлен быть не может, а жалоба подлежит возвращению. Учитывая подачу документов в электронном виде, жалоба и уплаченная за ее подачу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Ахмедову Руслану Адамовичу в восстановлении срока подачи кассационной жалобы на постановление Арбитражного суда Московского округа от 06.10.2023 по делу № А40-188365/2019 Арбитражного суда города Москвы.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