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20.12.2023 с ходатайством о восстановлении срока на обжалование. Заявитель указывает, что постановление Арбитражного суда Поволжского округа от 19.10.2023 было официально опубликовано 20.12.2023 и исчисляемый с момента ознакомления с постановлением срок на обжалование соблюден. Согласно частям 1, 2 статьи 291.2 Арбитражного процессуального кодекса Российской Федерации (далее – Кодекс) срок подачи кассационной жалобы исчисляется со дня вступления в законную силу последнего обжалуемого судебного акта и может быть восстановлен при наличии не зависящих от заявителя причин пропуска. В соответствии с частью 5 статьи 289 Кодекса постановление окружного суда от 19.10.2023 вступило в силу со дня его принятия в полном объеме – 19.10.2023. Официальное опубликование текста судебного акта на следующий день после изготовления его в полном объеме указывает на отсутствие нарушения 2 судом срока его изготовления и рассылки (часть 1 статьи 177 Кодекса), которые могли бы повлиять на исчисление срока на обжалование в ином, нежели предусмотрено статьей 291.2 Кодекса, порядке. С субъективным правом Парамонова А.В. на ознакомление с полным текстом постановления окружного суда в отсутствие отступлений суда от срока официального опубликования его текста не связан порядок исчисления срока на обжалование, поэтому названная причина не относится к объективному препятствию для подачи жалобы в срок. Иных причин пропуска срока в ходатайстве не приведено, поэтому срок на подачу кассационной жалобы восстановлению не подлежит. При отказе в восстановлении срока кассационная жалоба подлежит возврату, но в связи с подачей документов в электронном виде – не рассматривается по существу. Руководствуясь статьями 184,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Алексею Витальевичу в восстановлении срока подачи кассационной жалобы на определение Арбитражного суда Волгоградской области от 16.06.2023, постановление Двенадцатого арбитражного апелляционного суда от 29.08.2023 и постановление Арбитражного суда Поволжского округа от 19.10.2023 по делу № А12-4395/2023.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