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20.04.2023, оставленным без изменения постановлением Пятнадцатого арбитражного апелляционного суда от 19.06.2023 и постановлением Арбитражного суда Северо-Кавказского округа от 05.09.2023, в удовлетворении заявления отказано. В кассационной жалобе Гриценко Ю.Г. просит об отмене судебных актов, ссылаясь на неосновательное исключение из конкурсной массы спорной денежной суммы.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денежные средства на лечение должника исключены из конкурсной массы на основании судебного акта, поэтому руководствуясь статьей 69, Арбитражного процессуального кодекса Российской Федерации отклонили заявление.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Гриценко Ю.Г.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