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права, просит пересмотреть в кассационном порядке указанные судебные акты в части удовлетворения встречного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Частично удовлетворяя встречный иск и подтверждая правильность этого вывода, суды, исследовав и оценив представленные в материалы дела доказательства по правилам статьи 71 Арбитражного процессуального кодекса 2 Российской Федерации, руководствуясь положениями законодательства, регулирующего спорные правоотношения, исходили из доказанности факта выполнения ответчиком работ с недостатками и наличия у истца права требовать соразмерного уменьшения цены работ.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«Ремонтно-техническое предприятие «Сельхозтехника»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