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04.04.2023, оставленным без изменения постановлением Семнадцатого арбитражного апелляционного суда от 02.06.2023 и постановлением Арбитражного суда Уральского округа от 05.09.2023, в удовлетворении заявления отказано. В кассационной жалобе общество просит об отмене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осведомленность общества об обстоятельствах, которые положены им в основание предъявленного после принятия заявленного к пересмотру определения от от 21.02.2020 иска в суд общей юрисдикции, что делает их не отвечающими необходимым в силу части 2 статьи 311 Арбитражного процессуального кодекса Российской Федерации признакам для пересмотра судебного акта. Отличная от судебной оценка влияния обстоятельств на судьбу судебного акта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«Представитель»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