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Кемеровской области от 25.04.2023, оставленным без изменения постановлением Седьмого арбитражного апелляционного суда от 16.06.2023 и постановлением Арбитражного суда Западно-Сибирского округа от 26.09.2023, заявление удовлетворено. В кассационной жалобе Мунтян К.Ю. просит об отмене судебных актов, ссылаясь на неправильную оценку обстоятельств совершения сделки.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отчуждение должником фактически аффилированному лицу транспортного средства по заниженной цене при наличии долговых обязательств, повлекшее причинение вреда имущественным интересам кредиторов и создающее в силу пункта 2 статьи 61.2 Федерального закона от 26.10.2002 № 127-ФЗ «О несостоятельности (банкротстве)» условия для недействительности договора. Требуемая переоценка установленных обстоятельств совершения сделки не создает названных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Мунтян Кристине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