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Волгоградской области от 08.06.2023, оставленным без изменения постановлением Двенадцатого арбитражного апелляционного суда от 04.08.2023 и постановлением Арбитражного суда Поволжского округа от 12.10.2023, в удовлетворении заявления отказано. В кассационной жалобе Ложкин Э.И. просит об отмене судебных актов, ссылаясь на игнорирование приобретения спорного имущества за счет средств материнского капитала, нарушение прав детей и других собственников, не приглашенных в процесс.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наличие у должника иного защищенного исполнительским иммунитетом с учетом состава семьи жилого помещения, в связи с чем отклонение заявления соответствует статье 446 Гражданского процессуального кодекса Российской Федерации, статье 213.25 Федерального закона от 26.10.2002 № 227-ФЗ «О несостоятельности (банкротстве)». При обеспеченности детей жилым помещением и наличии у должника неисполненных обязательств перед кредиторами включение спорного имущества в конкурсную массу отвечает принципу соблюдения баланса интересов в деле о банкротстве. Нарушения прав сторонних лиц не подтверждено, поэтому их неучастие в рассмотрении спора не влияет на судьбу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Ложкину Эдуарду Ивановичу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