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26.06.2023, оставленным без изменения постановлением Девятого арбитражного апелляционного суда от 10.08.2023, заявление удовлетворено. Арбитражный суд Московского округа постановлением от 19.10.2023 отменил определение от 26.06.2023 и постановление апелляционной инстанции от 10.08.2023 и направил обособленный спор на новое рассмотрение в суд первой инстанции. В кассационной жалобе общество «Эльтон»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заявления вследствие несоответствия выводов судов обстоятельствам дела и необходимости исследования значимых для разрешения спора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«Эльтон»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