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Хабаровского края от 13.06.2023, оставленным без изменения постановлением Шестого арбитражного апелляционного суда от 11.08.2023 и постановлением Арбитражного суда Дальневосточного округа от 10.10.2023, из конкурсной массы исключены денежные средства в размере 12 797 рублей ежемесячно на содержание супруги должника до достижения трехлетнего возврата их общего ребенка, а также 25 000 рублей ежемесячно для оплаты арендованного жилья в период действия договора найма от 13.03.2023, но не позднее даты завершения процедуры реализации имущества. В кассационной жалобе Семенов Э.О. просит об отмене судебных актов в части исключения из конкурсной массы денежных средств для оплаты арендованного жилья, ссылаясь на недобросовестность должника, не воспользовавшегося правом на получение денежной компенсации за наем жилого помещения.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Судебные акты в обжалуемой части отвечают требованиям статьи 446 Гражданского процессуального кодекса Российской Федерации и установленным обстоятельствам нуждаемости должника в жилье. Установленные обстоятельства не зависят от оценке действий должника, на которой основаны доводы жалобы, не создающие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Семенову Эдуарду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