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25.05.2022 заявление кредитора признано обоснованным, в отношении должника введена процедура реструктуризации долгов, требование банка в размере 8 983 527 рублей 96 копеек основного долга, 6 923 627 рублей 79 копеек процентов за пользование кредитом, 44 055 231 рубля 75 копеек пеней и 66 000 рублей судебных расходов включено в третью очередь реестра как обеспеченное залогом имущества должника. Восемнадцатый арбитражный апелляционный суд постановлением от 16.05.2023 изменил определение от 25.05.2022, уменьшив размер пеней до 736 419 рублей 97 копеек. Арбитражный суд Уральского округа постановлением от 25.08.2023 постановление апелляционного суда от 16.05.2023 оставил без изменения. 2 В кассационной жалобе банк просит об отмене судебных актов апелляционного и окружного судов, ссылаясь на неосновательное уменьшение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Вопрос об уменьшении неустойки рассмотрен апелляционным судом в соответствии с компетенцией, применение которой не попадает под основания для кассационного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«Центральный коммерческий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