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26.01.2023 в удовлетворении заявления отказано. Постановлением Первого арбитражного апелляционного суда от 19.05.2023, оставленным без изменения постановлением Арбитражного суда Волго-Вятского округа от 27.09.2023, определение отменено, заявление удовлетворено. В кассационной жалобе Капранова С.В. просит об отмене судебных актов апелляционного и окружного судов, ссылаясь на ненадлежащую оценку доводов и доказательств расходования кредитных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руководствовались следующей из статей 35, 45 Семейного кодекса Российской Федерации и не опровергнутой супругами презумпции расходования заемных денежных средств на нужды семьи, поэтому признали общность обязательств. Вопросы доказывания и оценки доказательств, положенные в основу доводов жалобы,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Капрановой Светлане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