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Марий Эл от 10.02.2023 в удовлетворении заявления отказано. Постановлением Первого арбитражного апелляционного суда от 18.04.2023 оставленным без изменения постановлением Арбитражного суда Волго-Вятского округа от 03.08.2023, определение отменено, заявление удовлетворено. В кассационной жалобе Парахин С.Л. просит об отмене судебных актов апелляционного и окружного судов, ссылаясь на доказанность расходования кредитных денежных средств на личные нужды.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руководствовались следующей из статей 35, 45 Семейного кодекса Российской Федерации и не опровергнутой супругами презумпции расходования заемных денежных средств на нужды семьи, поэтому признали общность обязательств. Требуемая переоценка обстоятельств расходования должником денежных средств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Парахину Сергею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