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18.07.2018 заявление Бондаренко Ю.В. о включении в реестр требования, обеспеченного залогом имущества должника, удовлетворено. Определением Пятнадцатого арбитражного апелляционного суда от 27.06.2023, оставленным без изменения постановлением Арбитражного суда Северо-Кавказского округа от 25.08.2023, производство по апелляционной жалобе Колесниченко Г.Н. прекращено в связи с отказом в восстановлении срока на обжалование. В кассационной жалобе Колесниченко Г.Н. просит отменить судебные акты, принятые в отношении апелляционной жалобы, ссылаясь на неправильное определение начала нарушения прав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неправильном начале исчисления для него срока на обжалование судебного акта, принятого в отношении залогодателя (должника), обеспечивавшего кредитные обязательства заявителя, правомерно отклонен.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Колесниченко Григорию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