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21.02.2023, оставленным без изменения постановлением Тринадцатого арбитражного апелляционного суда от 24.05.2023 и постановлением Арбитражного суда Северо-Западного округа от 22.08.2023, требование банка к должнику (как к наследнику Абрамова А.К.) признано обоснованным в размере унаследованного имущества – не более 6 006 097 рублей 62 копеек основного долга и 498 051 рубля 33 копеек санкций; требования банка и Алексеева В.В. признаны подлежащими удовлетворению в пределах вышеуказанной суммы и пропорционально размеру основной суммы задолженности: банк – 2 77,55%, Алексеев В.В. – 22,45%, в таких же пределе и пропорции распределены голоса на собрании кредиторов. В кассационной жалобе Шамбасов Р.С. просит об отмене судебных актов, ссылаясь на нарушение пределов рассмотрения заявления, прекращение поручительств по нескольким основаниям.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 одному из договоров поручительства задолженность просужена в пределах срока действия поручительства и судебный акт должником при жизни не исполнен, поэтому возложили обязанность исполнения на наследника должника в пределах стоимости перешедшего по наследству имущества. Довод о нарушении пределов рассмотрения заявления неоснователен, поскольку финансовый Алексеев В.В., которого представляет финансовый управляющий наряду с банком является кредитором в рассматриваемом деле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Шамбасову Р.С.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