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27.04.2023, оставленным без изменения постановлением Девятого арбитражного апелляционного суда от 20.06.2023 и постановлением Арбитражного суда Московского округа от 25.09.2023, заявление удовлетворено. В кассационной жалобе заявители просят об отмене судебных актов, ссылаясь на неправильную правовую оценку обстоятельств совершения оспариваемого договора, невозможность признания недействительной сделки, заключенной в отношении имущества, обладающего исполнительским иммунитетом.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нарушение пределов осуществления гражданских прав изменением во вред кредиторам должника статуса совместно нажитого имущества, влекущее недействительность брачного договора в силу статей 10, 168 Гражданского кодекса Российской Федерации. Вопрос об исполнительском иммунитете разрешается в самостоятельном порядке. Иная оценка обстоятельств заключения договора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Гапоненко Олегу Геннадьевичу и Соловьевой Татьяне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