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29.12.2022, оставленным без изменения постановлением Шестнадцатого арбитражного апелляционного суда от 31.05.2023 и постановлением Арбитражного суда Северо-Кавказского округа от 28.08.2023, в удовлетворении заявления отказано. В кассационной жалобе Толмачев В.А. просит об отмене судебных актов, ссылаясь на неправильное применение срока исковой давности и наличие условий для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отказали в признании недействительным договора в связи с пропуском финансовым управляющим установленного пунктом 2 статьи 181 Гражданского кодекса Российской Федерации срока исковой давности на оспаривание сделок как не соответствующих Федеральному закону от 26.10.2002 № 127-ФЗ «О несостоятельности (банкротстве)» (статьям 61.2, 61.3). В силу пункта 2 статьи 199 Гражданского кодекса Российской Федерации пропуск срока исковой давности является самостоятельным и достаточным основанием для отказа в иске, в связи с чем доводы жалобы, связанные с иными обстоятельствами спора, значения не имеют и не обсуждаются.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Толмачеву Виталию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