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06.04.2023 требование в размере 292 000 057 рублей 65 копеек включено в третью очередь реестра как обеспеченное залогом движимого и недвижимого имущества должника. Десятый арбитражный апелляционный суд постановлением от 16.06.2023 отменил определение от 06.04.2023 в части признания залогового статуса требования, отказав в удовлетворении заявления в этой части. Арбитражный суд Московского округа постановлением от 25.08.2023 постановление апелляционного суда от 16.06.2023 оставил без изменения. В кассационной жалобе общество «Группа компаний АБСОЛЮТ» просит об отмене судебных актов апелляционного и окружного судов, ссылаясь на неправомерность отказа в установлении залогового статуса.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непопадание спорного случая под предусмотренные в силу статьи 334 Гражданского кодекса Российской Федерации и судебной практики ее применения случаи залога в силу закона. Иное толкование кредитором норм права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«Группа компаний АБСОЛЮТ»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