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16.11.2022 в удовлетворении иска отказано. Шестой арбитражный апелляционный суд постановлением от 11.05.2023 отменил решение от 16.11.2022 и удовлетворил иск. Арбитражный суд Дальневосточного округа постановлением от 23.08.2023 постановление апелляционного суда от 11.05.2023 оставил без изменения. В кассационной жалобе предприниматель просит об отмене судебных актов апелляционного и окружного судов, ссылаясь неправильную оценку обстоятельств спора, основанную на неосновательно принятых дополнительных доказательствах. В силу части 1 статьи 291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дело в пределах статьи 268 Арбитражного процессуального кодекса Российской Федерации, признал наличие у ответчика обязанности в силу статьи 1102 Гражданского кодекса Российской Федерации возвратить дважды полученную сумму, не обеспеченную встречным исполнением.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Марковой-Коровиной Ю.Б.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