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24.04.2023, оставленным без изменения постановлением Девятого арбитражного апелляционного суда от 17.07.2023 и постановлением Арбитражного суда Московского округа от 20.09.2023, заявление удовлетворено. В кассационной жалобе акционерное общество «Сибирская Угольная Энергетическая Компания» просит об отмене судебных актов, ссылаясь на возможность индексации присужденной денежной суммы только после вступления судебного акта в законную силу.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пунктом 1 статьи 183 Арбитражного процессуального кодекса Российской Федерации и постановлением Конституционного Суда Российской Федерации от 22.07.2021 № 40-П, признали право истца на возмещение финансовых потерь посредством индексации присужденной суммы со дня вынесения решения суда, определив ее размер в соответствии с индексом потребительских цен на территории Российской Федерации за период неисполнения. Иное толкование заявителем правовых норм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Угольная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