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04.04.2023, оставленным без изменения постановлением Девятого арбитражного апелляционного суда от 04.07.2023, заявление удовлетворено. Арбитражный суд Московского округа постановлением от 30.08.2023, отменив определение от 04.04.2023 и постановление апелляционного суда от 04.07.2023, направил дело на новое рассмотрение в суд первой инстанции. В кассационной жалобе Рутовский Д.В. просит об отмене постановления окружного суда, ссылаясь на несоответствие выводов судов материалам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 округа, признав необходимость нового рассмотрения спора для установления значимых обстоятельств, действовал в пределах полномочий, предоставленных статьями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Рутовскому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