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20.02.2023, в удовлетворении ходатайства о восстановлении срока для включения требования в реестр отказано, требование признано подлежащим удовлетворению за счет имущества должника, оставшегося после удовлетворения требований иных кредиторов, включенных в реестр. Девятый арбитражный апелляционный суд постановлением от 26.04.2023 отменил определение от 20.02.2023 в удовлетворенной части заявления и отказал в его удовлетворении в полном объеме. Арбитражный суд Московского округа постановлением от 21.07.2023 постановление апелляционного суда от 26.04.2023 оставил без изменения. В кассационной жалобе Хаффнер Штефан просит об отмене судебных актов апелляционного и окружного судов, ссылаясь на наличие права погашения долга из суммы, вырученной от продажи предмета залога и оставшейся после погашения требований включенных в реестр кредиторов.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руководствуясь статьями 71 и 100 Федерального закона от 26.10.2002 № 127-ФЗ «О несостоятельности (банкротстве)» и пунктами 1, 4, 20 постановления Пленума Высшего Арбитражного Суда Российской Федерации от 23.07.2009 № 58 «О некоторых вопросах, связанных с удовлетворением требований залогодержателя при банкротстве залогодателя», установил отсутствие оснований для удовлетворения заявления, поскольку имущество, являвшееся предметом заключенного с кредитором договора залога, реализовано на торгах в рамках дела о банкротстве должника. Доводы жалобы были предметом рассмотрения судов и мотивированно отклонены.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Хаффнеру Штефану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АССОЦИАЦИЯ "БЛАГОУСТРОЙСТВО КОТТЕДЖНОГО ПОСЕЛКА "АКВАТОРИЯ ИСТРЫ" (подробнее) Инспекция Федеральной налоговой службы №24 по г. Москве (подробнее) ООО "ГАЗЭНЕРГО ПРОМСЕРВИС" (подробнее) ПАО "Сбербанк России" (подробнее) Хаффнер Штефан (подробнее) Иные лица: ГУ "Стандарт оценки" (подробнее) Нотариус города Москвы Сиразиева Валентина Владимировна (подробнее) ООО Созидание (подробнее) Родионова.Н.С (подробнее) Союз АУ "Созидание"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