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от 11.11.2022 и дополнительным решением от 27.02.2023 Арбитражного суда города Москвы, оставленными без изменения постановлением Девятого арбитражного апелляционного суда от 05.04.2023 и постановлением Арбитражного суда Московского округа от 18.07.2023, взыскано 537 274 рубля 80 копеек задолженности и пени за просрочку оплаты, начисленные на сумму взысканной задолженности из расчета 0,01% за каждый день просрочки, начиная с 02.10.2022 по день фактической оплаты долга. В кассационной жалобе общество «Таскшеринг Рус» просит об отмене судебных актов в части отказа во взыскании платы за простой по вине ответчика, ссылаясь на подтверждение простоя путевыми листами.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Доводы о наличии простоя по вине ответчика были предметом рассмотрения судов и отклонены вследствие представления односторонних документов, не отвечающих требованиям пунктов 81, 82 постановления Правительства Российской Федерации от 21.12.2020 № 2200 «Об утверждении Правил перевозок грузов автомобильным транспортом и о внесении изменений в пункт 2.1.1 Правил дорожного движения Российской Федерации». Вопросы доказывания и оценки доказательств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«Таскшеринг Рус»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