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04.04.2023, оставленным без изменения постановлением Девятого арбитражного апелляционного суда от 13.07.2023, в удовлетворении заявления отказано. Арбитражный суд Московского округа постановлением от 04.09.2023 отменил определение от 04.04.2023 и постановление апелляционного суда от 13.07.2023 и направил обособленный спор на новое рассмотрение в суд первой инстанции В кассационной жалобе Рутовский Д.В. просит об отмене постановления окружного суда, ссылаясь на несоответствие выводов суда обстоятельствам дела, превышение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учитывая производность рассматриваемого спора от спора об исключении имущества из конкурсной массы, не рассмотренного по существу, признал невозможность сохранения силы обжалуемых судебных актов в пределах статей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Рутовскому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