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01.03.2023, оставленным без изменения постановлением Девятого арбитражного апелляционного суда от 27.04.2023 и постановлением Арбитражного суда Московского округа от 25.08.2023, заявление удовлетворено. В кассационной жалобе Морева О.В. просит об отмене судебных актов, ссылаясь на отсутствие условий недействительности договора в силу общегражданских оснований.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пределов осуществления гражданских прав изменением во вред кредиторам должника статуса совместно нажитого имущества, влекущее недействительность брачного договора в силу статей 10, 168, 170 Гражданского кодекса Российской Федерации. Иная оценка обстоятельств и цели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Моревой Ольге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