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«Жилищно-строительный кооператив «Красная Волна-Инвест» (далее – Кооператив) обратился в Арбитражный суд города Москвы с исковым заявлением к обществу с ограниченной ответственностью «Болеро Эстейт» (далее – Общество) о взыскании 77799 рублей 28 копеек задолженности и 3023 рублей 63 копеек пени. Решением Арбитражного суда города Москвы от 15.03.2023, оставленным без изменения постановлением Девятого арбитражного апелляционного суда от 28.04.2023 и постановлением Арбитражного суда Московского округа от 21.08.2023, требования удовлетворены частично: с Общества в пользу Кооператива взыскано 77799 рублей 28 копеек задолженности и 914 рублей 26 копеек пени;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неверное определение его доли в плате за содержание общего имущества.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Кооператив управляет многоквартирным домом по адресу: г. Москва, ул. Бахрушина, д. 19, стр. 2 (кадастровый номер 77:01:0002007:1049) совокупной площадью жилых и нежилых помещений 3070,4 кв. м (далее – МКД). В свою очередь, Общество является собственником нежилого помещения (офиса № 16) площадью 257 кв. м, что составляет 8,37% от площади многоквартирного дома. Общим собранием членов Кооператива от 18.10.2021 утверждена смета расходов на 3 квартал 2021 года и на 2022 год. Ссылаясь на наличие у Общества задолженности по внесению платы, Кооператив обратился в арбитражный суд с настоящим иском. Исследовав и оценив по правилам статьи 71 АПК РФ представленные доказательства, руководствуясь статьями 209, 210, 249, 290, 309, 310, 330 Гражданского кодекса Российской Федерации, статьями 36, 153, 154, 155, 156, 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частично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по установленным тарифам. Ссылка ответчика на неверное определение его доли в плате за содержание общего имущества отклонена судебными инстанциями, учитывая, что указанные обстоятельства были предметом исследования при рассмотрении дела № А40- 110312/2020 и установлено, что ответчик является собственником нежилого помещения – офиса № 16 площадью 257 кв. м (8,37% от площади МКД); при расчете доли Общества использовалась площадь 3070,4 кв. м – сумму площадей помещений, которые оформлены в собственность в здании; при расчете доли ответчика не учитывалась площадь подвала и части первого этажа, принадлежащие истцу, а именно 895,7 кв. м, так как Кооператив является организацией, управляющей домом, и принадлежащая ему площадь не влияет на долю Общества. 3 Также в рамках дела № А40-110312/2020 установлено, что фундамент и фундаментная плита относятся к общему имуществу собственников помещений МКД. Фактически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«Болеро Эстейт»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