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Приморского края от 02.06.2023, оставленным без изменения постановлением Пятого арбитражного апелляционного суда от 07.08.2023 и постановлением Арбитражного суда Дальневосточного округа от 06.10.2023, заявление удовлетворено. В кассационной жалобе Панова Т.П. просит отменить судебные акты, ссылаясь на отсутствие основания общегражданского основания для недействительности сделки, игнорирование разрешения судьбы сорных денежных средств в приговоре.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Установленное судами совершение согласованных действий должника и заинтересованного лица (ответчика) по выведению из-под взыскания денежных средств попадает под нарушение пределов осуществления гражданских прав и влечет применение последствий, предусмотренных статьями 10, 168 Гражданского кодекса Российской Федерации. Довод о востребовании приговором спорной суммы с должника в общей сумме ущерба не означает ее фактического истребования и запрета на применение последствий недействительности сделки, предметом которой сумма являлась.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Пановой Татьяне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