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требования в размере 7 000 000 рублей – основной долг, 87 021 рубля – проценты за пользование чужими денежными средствами. Определением Арбитражного суда города Москвы от 04.12.2020 заявление удовлетворено. Постановлением Девятого арбитражного апелляционного суда от 16.02.2021, оставленным без изменения постановлением Арбитражного суда Московского округа от 06.05.2021, отменено определение суда первой инстанции от 04.12.2020,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807 , 808 и 810 Гражданского кодекса Российской Федерации, статей 71 и 100 Федерального закона от 26.10.2002 № 127-ФЗ «О несостоятельности (банкротстве)», исходили из отсутствия оснований для включения требований ФИО1 в реестр ввиду недоказанности реальности отношений, положенных в основу его требований.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Союзу АУ "Возрождение" (подробнее) Судьи дела: Корнелюк Е.С.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