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13.04.2023, оставленным без изменения постановлением Седьмого арбитражного апелляционного суда от 16.06.2023 и постановлением Арбитражного суда Западно-Сибирского округа от 05.10.2023, заявление финансового управляющего удовлетворено. В кассационной жалобе Перевезенцев И.Ю. просит об отмене судебных актов, ссылаясь на игнорирование судами нуждаемости должника и членов его семьи в автомобиле.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Право финансового управляющего обращаться с заявленным требованием в суд в целях формирования конкурсной массы основано на статьях 20.3, 213.9, 213.25 Федерального закона от 26.10.2002 № 127-ФЗ «О несостоятельности (банкротстве)», которыми руководствовались суды, удовлетворяя заявление. Вопрос об исполнительском иммунитете может быть разрешен по самостоятельному заявлению.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Перевезенцеву Ивану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