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01.03.2023, оставленным без изменения постановлением Девятого арбитражного апелляционного суда от 25.05.2023 и постановлением Арбитражного суда Московского округа от 21.08.2023, в удовлетворении заявления отказано. В кассационной жалобе Адьянова С.В. просит о пересмотре судебных актов, ссылаясь на игнорирование заключенного после возникновения обязательств должника перед кредиторами дополнительного соглашения к брачному договору, которым супруги изменили режим совместной собственности.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основанный на действующем брачном договоре, заключенном ранее возникновения задолженности перед кредиторами, раздельный режим имущества супругов и отсутствие доказательств возникновения права общей собственности на спорное имущество, в связи с чем отказали в удовлетворении ходатайства в соответствии со статьями 33, 42 Семейного кодекса Российской Федерации, пунктом 7 статьи 213.26 Федерального закона от 26.10.2002 № 127-ФЗ «О несостоятельности (банкротстве)». Приведенные в кассационной жалобе доводы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Адьяновой Саглар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