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Свердловской области от 26.07.2023, оставленным без изменения постановлением Семнадцатого арбитражного апелляционного суда от 21.08.2023, дело № А60-30771/2023 передано по подсудности в Арбитражный суд Курганской области. В кассационной жалобе общество просит об отмене судебных актов, ссылаясь на игнорирование судами манипулирования должником подсудностью.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2 При определении подсудности суды руководствовались статьей 38 Арбитражного процессуального кодекса Российской Федерации, статьей 33 Федерального закона от 26.10.2002 № 127-ФЗ «О несостоятельности (банкротстве)», статьей 20 Гражданского кодекса Российской Федерации и установленными фактами проживания должника и осуществления им деятельности в сфере информационных технологий в городе Кургане.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«Торговый дом «НКМЗ»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