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10.05.2023, оставленным без изменения постановлением Девятого арбитражного апелляционного суда от 19.07.2023 и постановлением Арбитражного суда Московского округа от 09.10.2023, заявление удовлетворено. В кассационной жалобе Шушарина М.А. просит об отмене судебных актов, ссылаясь на неправильно установленные и оцененные обстоятельства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Безвозмездное отчуждение должником спорной недвижимости в пользу заинтересованного лица при наличии неисполненных обязательств суды признали создающим в силу пункта 2 статьи 61.2 Федерального закона от 26.10.2002 № 127-ФЗ «О несостоятельности (банкротстве)» условия для недействительности сделки. Иная оценка обстоятельств заключения договора не попадает под основания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Шушариной Марии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