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Чувашской Республики – Чувашии от 10.01.2023, оставленным без изменения постановлением Первого арбитражного апелляционного суда от 14.06.2023 и постановлением Арбитражного суда Волго-Вятского округа от 19.09.2023, в удовлетворении заявления отказано. В кассационной жалобе Шетяева Н.А. просит об отмене судебных актов, ссылаясь на неправильную оценку обстоятельств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Невозможность включения имущества, составляющего предмет оспариваемой сделки, в конкурсную массу признана в силу статьи 446 Гражданского процессуального кодекса Российской Федерации, статьи 213.25 Федерального закона от 26.10.2002 № 127-ФЗ «О несостоятельности (банкротстве)». Доводы о злоупотреблении должника и наличии у него других жилых помещений исследованы и признаны не влияющими на исполнительский иммунитет спорного имущества.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Шетяевой Наталье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