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31.05.2023, оставленным без изменения постановлением Восьмого арбитражного апелляционного суда от 17.07.2023 и постановлением Арбитражного суда Западно-Сибирского округа от 02.10.2023, процедура реализации имущества гражданина завершена, должник не освобожден от дальнейшего исполнения требований публичного акционерного общества «Промсвязьбанк». В кассационной жалобе Перепелица В.И. просит об отмене судебных актов в части неосвобождения ее от исполнения обязательства, ссылаясь на несоответствие вывода судов о ее недобросовестности обстоятельствам спора и пропуск банком срока исковой давности при обращении в суд первой инстанции с требованием.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исполнения долговых обязательств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ее уплаты. Иная оценка должником своих действий не создает оснований для кассационного пересмотра судебных актов как и доводы относительно пропуска срока исковой давности, заявленные судам и получившие правовую оценку. Вопрос о сроке исковой давности в отношении фигурирующих в банкротстве долгов на стадии завершения процедуры не осуждается.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Перепелице Валентине Ильиничне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