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05.04.2023, оставленным без изменения постановлением Тринадцатого арбитражного апелляционного суда от 08.06.2023 и постановлением Арбитражного суда Северо-Западного округа от 20.09.2023, заявление кредитора признано обоснованным, в отношении должника введена процедура реструктуризации долгов, требование кредитора включено в третью очередь реестра, утвержден финансовый управляющий. В кассационной жалобе Гриднев А.Н. просит об отмене судебных актов, ссылаясь на принятие судами сфальсифицированных и подложных документов.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обоснованности заявления, наличии и размере подлежащей включению в реестр задолженности основаны на неисполненном судебном акте и соответствуют статьям 213.3, 213.5, 213.6, 213.13 Федерального закона от 26.10.2002 № 127-ФЗ «О несостоятельности (банкротстве)». Вопросы доказывания и оценки доказательств не создают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Гридневу Алексею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