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корпорация обратилась в суд с заявлением об отнесении текущих платежей, связанных с обеспечением сохранности предмета залога на общества с ограниченной ответственностью «Авангард», «НГДУ Приволжский», «Куэльпор», «ТД Политорг» и «Гефест – Рентал» (далее – ответчики), действия которых, по мнению заявителя, привели к затягиванию завершения процедуры наблюдения. Определением Арбитражного суда города Москвы от 19.04.2023 заявление удовлетворено частично. Постановлением Девятого арбитражного апелляционного суда от 04.07.2023, оставленным без изменения постановлением Арбитражного суда Московского округа от 04.09.2023,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10.11.2023 материалы дела № А40-168740/2020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Отменяя определение и отказывая в удовлетворении заявления, суды апелляционной инстанции и округа исходили из недоказанности причинно – следственной связи между продлением процедуры наблюдения и заявленными корпорацией убытками. Выводы судов апелляционной инстанции и округа соответствуют нормам права, оснований для переоценки этих выводов не имеется. Результаты рассмотрения доводов кассационной жалобы, изучения обжалуемых заявителем судебных актов и материалов истребованного дела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