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«МНК Сервис-НСК» (далее – истец, общество) обратилось в Арбитражный суд Новосибирской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Управляющая организация «Жилком» (далее – ответчик, компания, заявитель) о взыскании 843 525 руб. 13 коп.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привлечено Пограничное управление Федеральной службы безопасности Российской Федерации по Новосибирской области (далее – управление, третье лицо). Решением Арбитражного суда Новосибирской области от 08.03.2023, оставленным без изменения постановлением Седьмого арбитражного апелляционного суда от 06.07.2023, исковые требования удовлетворены. 2 Постановлением Арбитражного суда Западно-Сибирского округа от 14.09.2023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ссылается на несоблюдение истцом досудебного порядка урегулирования спора, уклонение третьего лица от предоставления данных о нанимателях квартир, а также выполнение компанией работ и оказание услуг на сумму большую, чем оплачено собственниками помещений в многоквартирных домах (далее – МКД).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 01.03.2020 в реестр лицензий Новосибирской области внесены изменения в связи с заключением обществом договоров управления МКД, расположенных по адресу: г. Новосибирск, ул. Сухарная, д. 76/1 и д. 76/2. С 01.07.2020 соответствующие изменения внесены также в отношении МКД, расположенного по адресу: г. Новосибирск, ул. Сухарная, д. 76/3. До внесения указанных изменений деятельность по управлению указанными МКД осуществляла компания. В соответствии с протоколами № 1 от 30.12.2019 и № 1 от 23.05.2020 внеочередного общего собрания собственников помещений в МКД принято решение обязать компанию передать обществу техническую и иную документацию, связанную с управлением МКД, а также денежные средства, собранные на ремонт и содержание общего имущества МКД. Полагая, что у компании остались неизрасходованные целевые денежные средства, общество направило в адрес компании обращения № 38, 39 от 02.07.2020, претензию от 04.08.2022 с требованием передать целевые денежные средства, собранные на содержание и ремонт МКД. В ответных письмах от 10.07.2020, 04.04.2022 компания указала, что у собственников помещений имеется задолженность за предоставленные услуги по содержанию и ремонту общего имущества, размер которой превышает остатки денежных средств. 3 В ответе на претензию ответчик подтвердил, что у него имеются неизрасходованные денежные средства по статьям «текущий ремонт», «дополнительные услуги», «дополнительные доходы» в следующем размере: - Сухарная 76/1, «текущий ремонт» - 202 678 руб. 58 коп., «дополнительные услуги» - 26 395 руб. 20 коп., «дополнительные доходы» - 7 700 руб.; - Сухарная 76/2, «текущий ремонт» - 166 556 руб. 03 коп., «дополнительные услуги» - 25 074 руб. 16 коп., «дополнительные доходы» - 7 700 руб.; - Сухарная 76/3, «текущий ремонт» - 382 395 руб. 91 коп., «дополнительные доходы» - 10 500 руб. Поскольку компания не перечислила неизрасходованные денежные средства обществу в добровольном порядке, истец обратился в суд с настоящим иском. Разрешая настоящий спор, суды, исследовав и оценив по правилам статьи 71 АПК РФ представленные доказательства, руководствуясь статьями 36, 44, 154, 158, 161, 162 Жилищного кодекса Российской Федерации, пунктом 28 Правил содержания общего имущества в многоквартирном доме, утвержденных постановлением Правительства Российской Федерации от 13.08.2006 № 491 (далее - Правила № 491), пунктом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416, исходили из того, что общество, выполняя функции управления многоквартирными домами, имеет право требовать с прежней управляющей компании неизрасходованные по целевому назначению денежные средств, собранные ей на содержание и ремонт МКД. Установив, что компания прекратила управление спорными МКД, в материалы настоящего дела ответчиком не представлены доказательства выполнения им работ по ремонту имущества МКД на сумму, превышающую собранные денежные средства по статье «текущий ремонт», аккумулированную на лицевых счетах спорных МКД; компания не подтвердила наличие у собственников МКД задолженности перед ответчиком в размере, превышающем сумму неизрасходованных денежных средств, суды пришли к выводу о наличии оснований для удовлетворения иска.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организация «Жилком» для рассмотрения в 4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