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Семёнова Д.Н., Чагину Т.Ю., Дуплинскую Я.С., общества с ограниченной ответственностью «Эйр Инвест» к субсидиарной ответственности в размере 6 465 694 156 рублей 04 копейки. Определением Арбитражного суда города Москвы от 11.06.2021, оставленным без изменения постановлением Девятого арбитражного апелляционного суда от 12.08.2021, в удовлетворении заявления отказано. Постановлением Арбитражного суда Московского округа от 22.11.2021 данные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07.02.2023, оставленным без изменения постановлениями Девятого арбитражного апелляционного суда от 02.05.2023 и Арбитражного суда Московского округа от 22.08.2023, солидарно к субсидиарной ответственности по обязательствам должника привлечены Семенов Д.Н., Чагина Т.Ю., Дуплинская Я.С.; взыскано солидарно с Семенова Д.Н., Чагиной Т.Ю., 2 Дуплинской Я.С. в пользу Банка «Траст» (ПАО) денежные средства в размере 344 727 377 рублей 05 копеек; солидарно с Семенова Д.Н., Чагиной Т.Ю. Дуплинской Я.С. в пользу АКБ «ФИНПРОМБАНК» (ПАО) денежные в размере 5 783 723 711 рубль 92 копейки; солидарно с Семенова Д.Н., Чагиной Т.Ю. Дуплинской Я.С. в пользу общества с ограниченной ответственностью КБ «АйМаниБанк» денежные средства в размере 134 927 153 рубля 04 копейки; прекращено производство в части требования о привлечении к субсидиарной ответственности общества «Эйр Инвест». В кассационных жалобах, поданных в Верховный Суд Российской Федерации, заявители просят отменить обжалуемые судебные акты в части привлечения их к субсидиарной ответственности. Семенов Д.Н. просит направить обособленный спор на новое рассмотрение в суд первой инстанции в обжалуемой им части; Дублинская Я.С. отказать в удовлетворении заявленных требований в обжалуемой ей части.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При новом рассмотрении, разрешая спор в обжалуемых частях, суды, руководствуясь пунктом 2 статьи 61.11 Федерального закона от 26.10.2002 № 127-ФЗ «О несостоятельности (банкротстве)», отклонив довод о пропуске срока исковой давности для привлечения к субсидиарной ответственности, исходили из доказанности факта неисполнения контролирующих должника лицами обязанности по передачи конкурсному управляющему документации и, как следствие, невозможности формирования конкурсной массы и расчётов с кредиторами. Выводы судов в обжалуемых заявителями частях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Доводы заявителей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3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