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договора купли-продажи трактора МТЗ-82.1 от 20.07.2020, заключённого между должником и Антоновым В.И., и применении последствий недействительности сделки. Определением Арбитражного суда Томской области от 27.06.2023, оставленным без изменения постановлениями Седьмого арбитражного апелляционного суда от 17.08.2023 и Арбитражного суда Западно-Сибирского округа от 17.10.2023, заявление удовлетворено; применены последствия недействительности в виде взыскания с Антонова В.И. в конкурсную массу должника 480 000 рублей.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Томской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пункта 1 и 2 статьи 61.2 и статьи 61.6 Федерального закона от 26.10.2002 № 127-ФЗ «О несостоятельности (банкротстве)», результатами судебной экспертизы об оценке рыночной стоимости отчуждённого по оспариваемой сделке имущества, установив совершение оспариваемой сделки с противоправной целью в пределах пяти месяцев до возбуждения настоящего дела о банкротстве, при наличии признаков несостоятельности должника и отсутствии равноценного встречного исполнения, пришли к выводу об обоснованности заявления, указав на следствие сделки – причинение вреда кредиторам должника, правомерно применив последствия недействительности сделки.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