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в лице его конкурсного управляющего обратилось в суд с заявлением о включении в реестр требований кредиторов должника (далее – реестр) требований общества в размере 13 864 000 рублей. Определением Арбитражного суда города Москвы от 03.03.2023, оставленным без изменения постановлениями Девятого арбитражного апелляционного суда от 29.05.2023 и Арбитражного суда Московского округа от 21.08.2023, признано обоснованным требование общества в размере 11 749 000 рублей и подлежащим удовлетворению в очерёдности, предшествующей распределению ликвидационной квоты; отказано в удовлетворении остальной части требования. В кассационной жалобе, поданной в Верховный Суд Российской Федерации, заявитель просит отменить названные судебные акты. Исходя из содержания жалобы, заявитель не согласен с судебными актами в части определения очерёдности удовлетворения требований общества.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правовой позицией, изложенной в пунктах 2, 3.2 и 4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пришли к выводу о наличии оснований для субординации требований аффилированного с должником лица – общества, предоставившего должнику компенсационное финансирование в рамках договора займа от 11.02.2014 № 18. Выводы судов в обжалуемой части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