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Доводы заявителя не подтверждают нарушений судами норм права, приведших к судебной ошибке существенного и непреодолимого характера при рассмотрении заявления истца о разъяснении судебного акта, и в силу статьи 291.6 Арбитражного процессуального кодекса Российской Федерации 2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«Россети Кубань»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