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Приостанавливая производство по делу, суд первой инстанции, с которым согласились суды апелляционной и кассационной инстанций, руководствовался положениями статей 143, 145 АПК РФ и исходил из невозможности 2 разрешения настоящего дела до вступления в законную силу приговора по делу № 1-70/2023, находящемуся в производстве Пролетарского районного суда города Саранска Республики Мордовия. Доводы кассационной жалобы не подтверждают существенных нарушений судами норм права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Крыгановой Марии Васильевны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