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декабря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кассационной жалобе, поданной в Верховный Суд Российской Федерации, заявитель, ссылаясь на нарушение судами норм материального и процессуального права, просит пересмотреть указанные судебные акты в кассационном порядке.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Удовлетворяя исковые требования и подтверждая правильность этого вывода, суды, исследовав и оценив представленные в материалы дела доказательства, руководствуясь положениями законодательства, 2 регулирующего спорные правоотношения, исходили из доказанности факта возникновения на стороне ответчика неосновательного обогащения за счет истца. Из содержания судебных актов следует, что суды всесторонне исследовали доказательства по делу, установили необходимые для разрешения спора обстоятельства и дали правовую оценку доводам заявителя. Доводы кассационной жалобы не подтверждают существенных нарушений судами норм материального и процессуального права, повлиявших на исход дела, и в силу статьи 291.6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«Механизация Плюс»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