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Новосибирской области от 18.10.2019 в третью очередь реестра требований кредиторов должника включено требование общества с ограниченной ответственностью «Сибирская аграрная компания» в размере 81 572 459 рублей 84 копейки основного долга и 17 130 216 рублей 57 копейки неустойки. Общество «Азимут» обратилось в суд с заявлением о пересмотре по вновь открывшимся обстоятельствам названного определения суда первой инстанции от 18.10.2019. Определением Арбитражного Суда Новосибирской области от 30.03.2023, оставленным без изменения постановлениями Седьмого арбитражного апелляционного суда от 01.06.2023 и Арбитражного суда Западно-Сибирского округа от 28.08.2023, отказано в удовлетворении заявления о пересмотре судебного акта. В кассационной жалобе, поданной в Верховный Суд Российской Федерации, заявитель просит отменить указанные судебные акты и удовлетворить заявление о пересмотре судебного акта.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 первой инстанции, руководствуясь положениями статей 309 и 311 Арбитражного процессуального кодекса Российской Федерации, исходил из того, что представленные заявителем сведения и доказательства не могут служить основанием для пересмотра судебного акта по новым или вновь открывшимся обстоятельствам.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права, влекущих за собой безусловную отмену указанных судебных актов,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