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 ставится вопрос о ее передаче для рассмотрения в судебном заседании Судебной коллегии по экономическим спорам Верховного Суда Российской Федерации.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Отказывая в удовлетворении иска и подтверждая правильность этого вывода, суды, исследовав и оценив представленные в материалы дела доказательства, руководствуясь положениями законодательства, 2 регулирующего спорные правоотношения, исходили из недоказанности истцом наличия недостатков в выполненных ответчиком работах. Из содержания судебных актов следует, что суды всесторонне исследовали доказательства по делу, установили необходимые для разрешения спора обстоятельства и дали надлежащую правовую оценку доводам заявителя.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индивидуального предпринимателя Зеленцовой Натальи Владимировны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