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27.02.2019, оставленным без изменения постановлением Девятого арбитражного апелляционного суда от 16.05.2019 и постановлением Арбитражного суда Московского округа от 29.08.2019,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за период с 01.01.2014 по 31.12.2015, по результатам составлен акт и вынесено решение о привлечении к ответственности за совершение налогового правонарушения. Данным решением доначислены налог на прибыль организаций, налог на добавленную стоимость и налог на доходы физических лиц на общую сумму 47 353 119 рублей, начислено 16 242 102 рубля пеней и 6 504 820 рублей штрафа. Основанием для доначисления налогов послужили выводы налогового органа о занижении обществом налоговой базы в связи с неправомерным включением в состав расходов по налогу на прибыль затрат по взаимоотношениям с ООО «Трансинтур», ООО «Интранском», ООО «Транссервис», ООО «МАРС», ООО «Извозчик», ООО «ТЛК-МАГ» (транспортные услуги и погрузочно-разгрузочные работы), ООО «Промснабметалл», ООО «СтройГрад», ООО «Техноторг», ООО «Гарант-СБ», ООО «Комплектпоставка» (поставка продукции, товара) и ООО «Техстройальянс» (работы по установке систем вентиляции и кондиционирования), а также необоснованным применением налоговых вычетов по налогу на добавленную стоимость на основании документов, выставленных от имени указанных контрагентов. Считая решение инспекции незаконным, общество обратилось в арбитражный суд. Оценив представленные в материалы дела доказательства, суды, руководствуясь положениями статей 169 , 171 , 172 , 247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инспекции правовых оснований для принятия оспоренного решения ввиду доказанности совокупности обстоятельств, свидетельствующих о направленности действий общества на получение необоснованной налоговой выгоды путем учета хозяйственных операций не в соответствии с их действительным экономическим смыслом. Судебные инстанции исходили из создания обществом формального документооборота в отсутствие реальных хозяйственных операций с заявленными в первичных документах контрагентами, которые не осуществляли финансово-хозяйственной деятельности, не обладали материальными и трудовыми ресурсами, не производили платежей и закупку необходимых для осуществления предусмотренных договорами обязательств. Вместе с тем суды указали на самостоятельное осуществление обществом монтажных и пусконаладочных работ, установку систем вентиляции и кондиционирования, а также приобретение товара. Доводы, изложенные в кассационной жалобе, сводятся к нарушению налоговым органом процедуры проведения проверки, являлись предметом рассмотрения судов и получили надлежащую правовую оценку с учетом установленных обстоятельств дела.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«Альмета»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